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0413C914" w:rsidR="00251E71" w:rsidRPr="00160C56" w:rsidRDefault="00251E71" w:rsidP="00251E71">
      <w:r w:rsidRPr="00160C56">
        <w:rPr>
          <w:rFonts w:hint="eastAsia"/>
        </w:rPr>
        <w:t>入札件名：</w:t>
      </w:r>
      <w:r w:rsidR="005F1093" w:rsidRPr="005F1093">
        <w:rPr>
          <w:rFonts w:hint="eastAsia"/>
          <w:bCs/>
          <w:kern w:val="0"/>
        </w:rPr>
        <w:t>次期電子カルテ端末（ハードウェア）の調達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731FE61B"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5F1093" w:rsidRPr="005F1093">
        <w:rPr>
          <w:rFonts w:hAnsi="ＭＳ 明朝" w:hint="eastAsia"/>
          <w:bCs/>
          <w:snapToGrid w:val="0"/>
          <w:kern w:val="0"/>
          <w:sz w:val="24"/>
          <w:u w:val="single"/>
        </w:rPr>
        <w:t>次期電子カルテ端末（ハードウェア）の調達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78DB445D"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5F1093" w:rsidRPr="005F1093">
        <w:rPr>
          <w:rFonts w:ascii="Century Schoolbook" w:eastAsia="ＭＳ Ｐ明朝" w:hAnsi="Century Schoolbook" w:hint="eastAsia"/>
          <w:bCs/>
          <w:sz w:val="32"/>
          <w:szCs w:val="32"/>
          <w:u w:val="single"/>
        </w:rPr>
        <w:t>次期電子カルテ端末（ハードウェア）の調達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35AF1867"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5F1093" w:rsidRPr="005F1093">
        <w:rPr>
          <w:rFonts w:hint="eastAsia"/>
          <w:sz w:val="24"/>
        </w:rPr>
        <w:t>令和７年１月１７日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5F1093" w:rsidRPr="005F1093">
        <w:rPr>
          <w:rFonts w:ascii="Century" w:hint="eastAsia"/>
          <w:bCs/>
          <w:sz w:val="24"/>
        </w:rPr>
        <w:t>次期電子カルテ端末（ハードウェア）の調達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19665C">
      <w:pPr>
        <w:autoSpaceDE w:val="0"/>
        <w:autoSpaceDN w:val="0"/>
        <w:adjustRightInd w:val="0"/>
        <w:jc w:val="left"/>
        <w:rPr>
          <w:rFonts w:asciiTheme="minorEastAsia" w:eastAsiaTheme="minorEastAsia" w:hAnsiTheme="minorEastAsia" w:cs="ＭＳ 明朝" w:hint="eastAsia"/>
          <w:color w:val="000000"/>
          <w:kern w:val="0"/>
          <w:sz w:val="20"/>
          <w:szCs w:val="20"/>
          <w:lang w:eastAsia="zh-TW"/>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DD861" w14:textId="77777777" w:rsidR="007B6D9F" w:rsidRDefault="007B6D9F" w:rsidP="0094461B">
      <w:r>
        <w:separator/>
      </w:r>
    </w:p>
  </w:endnote>
  <w:endnote w:type="continuationSeparator" w:id="0">
    <w:p w14:paraId="4BB45CB8" w14:textId="77777777" w:rsidR="007B6D9F" w:rsidRDefault="007B6D9F"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D0F9C" w14:textId="77777777" w:rsidR="007B6D9F" w:rsidRDefault="007B6D9F" w:rsidP="0094461B">
      <w:r>
        <w:separator/>
      </w:r>
    </w:p>
  </w:footnote>
  <w:footnote w:type="continuationSeparator" w:id="0">
    <w:p w14:paraId="343A8B7D" w14:textId="77777777" w:rsidR="007B6D9F" w:rsidRDefault="007B6D9F"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9665C"/>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191"/>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1093"/>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B6D9F"/>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BEC"/>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4DE"/>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9F6348"/>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1A70"/>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5D07"/>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1000</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1684</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2025-01-16T05:31:00Z</dcterms:created>
  <dcterms:modified xsi:type="dcterms:W3CDTF">2025-01-16T05:31:00Z</dcterms:modified>
</cp:coreProperties>
</file>